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8" w:rsidRPr="00801E67" w:rsidRDefault="004B4888" w:rsidP="001804EF">
      <w:pPr>
        <w:shd w:val="clear" w:color="auto" w:fill="FFFFFF"/>
        <w:spacing w:after="300" w:line="390" w:lineRule="atLeast"/>
        <w:jc w:val="both"/>
        <w:textAlignment w:val="baseline"/>
        <w:outlineLvl w:val="0"/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</w:pPr>
      <w:bookmarkStart w:id="0" w:name="_GoBack"/>
      <w:bookmarkEnd w:id="0"/>
      <w:r w:rsidRPr="00083B5E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>ПРАВИЛА БОНУСНОЙ ПРОГРАММЫ</w:t>
      </w:r>
      <w:r w:rsidRPr="00FD65F6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 xml:space="preserve"> </w:t>
      </w:r>
    </w:p>
    <w:p w:rsidR="004B4888" w:rsidRPr="00C77CE7" w:rsidRDefault="004B4888" w:rsidP="001804EF">
      <w:pPr>
        <w:shd w:val="clear" w:color="auto" w:fill="FFFFFF"/>
        <w:spacing w:after="300" w:line="390" w:lineRule="atLeast"/>
        <w:jc w:val="both"/>
        <w:textAlignment w:val="baseline"/>
        <w:outlineLvl w:val="0"/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</w:pPr>
      <w:r w:rsidRPr="00F72585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>Ideas 4 You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Настоящие Правила определяют условия участия Участников Программы в Бонусной программе, проводимой Организатором Программы на территории Российской Федерации.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Бонусная программа («Программа»)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взаимоотношения, в которых Участник, приобретающий товары у Организатора с помощью Карты Участника приобретает право на получение Бонусов в соответствии с настоящими Правилами.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</w:t>
      </w: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Организатор</w:t>
      </w:r>
      <w:r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ы</w:t>
      </w: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 xml:space="preserve"> Программы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(«Организатор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»)</w:t>
      </w:r>
    </w:p>
    <w:p w:rsidR="004B4888" w:rsidRDefault="001804EF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ООО «ОЛТРЕЙД» 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1187746155728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="004B4888"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9729257314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8D46E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</w:p>
    <w:p w:rsidR="004B4888" w:rsidRDefault="001804EF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Домхаус</w:t>
      </w:r>
      <w:proofErr w:type="spellEnd"/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 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1217700251108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="004B4888"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9703035821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B9064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327CAA" w:rsidRPr="0009237C" w:rsidRDefault="00327CAA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ООО «</w:t>
      </w:r>
      <w:proofErr w:type="spellStart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Китчен</w:t>
      </w:r>
      <w:proofErr w:type="spellEnd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 основной государственный регистрационный номер (ОГРН) 1227700822634, идентификационный номер налогоплательщика (ИНН) 7743401380, адрес места нахождения: Российская Федерация, 125315, г. Москва округ Сокол, пр. Ленинградский, дом80Б, корпус 3, пом. 7т</w:t>
      </w:r>
    </w:p>
    <w:p w:rsidR="0026754B" w:rsidRDefault="0026754B" w:rsidP="002675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ООО «</w:t>
      </w:r>
      <w:proofErr w:type="spellStart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Тойс</w:t>
      </w:r>
      <w:proofErr w:type="spellEnd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 основной государственный регистрационный номер (ОГРН) 1227700822623, идентификационный номер налогоплательщика (ИНН) 774340137</w:t>
      </w:r>
      <w:r w:rsidR="009B43EE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адрес места нахождения: Российская Федерация, 125315, г. Москва округ Сокол, пр. Ленинградский, дом80Б, корпус 3, пом. 7т</w:t>
      </w:r>
    </w:p>
    <w:p w:rsidR="0026754B" w:rsidRDefault="0026754B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Участник Программы («Участник»)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физическое лицо, достигшее 18 лет, допущенное Организатором Программы к участию в соответствии с настоящими Правилами и являющееся держателем Карты. Участник самостоятельно управляет своим Бонусным счетом (накапливает бонусы за покупки и использует их на покупки) в соответствии с Правилами программы.</w:t>
      </w:r>
    </w:p>
    <w:p w:rsidR="007C06E0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Карта Участника («Карта»)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- виртуальная карта (без физического носителя), обладающая уникальным в рамках Программы номером, который используется для идентификации Участника в Программе. Карта обслуживается в режиме «на предъявителя». При совершении покупки на Территории действия Программы с использованием Карты Участнику предъявлять документ, удостоверяющий личность, не требуется. </w:t>
      </w:r>
    </w:p>
    <w:p w:rsidR="00397A21" w:rsidRPr="000F1DEB" w:rsidRDefault="00397A21" w:rsidP="000F1D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Для списания баллов</w:t>
      </w:r>
      <w:r w:rsidR="0027119A"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клиенту необходимо продиктовать</w:t>
      </w:r>
      <w:r w:rsidR="0027119A"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на кассе</w:t>
      </w: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специальный код из </w:t>
      </w:r>
      <w:r w:rsidR="00293F39"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смс-сообщения</w:t>
      </w: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отправленного на номер телефона, указанный при регистрации в программе лояльности.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Ответственность за использование карты другими лицами лежит на Участнике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Анкета Участника («Анкета»)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 регистрационная форма, содержащая персональные данные Участника и согласие на их обработку. Переданн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ое 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частником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согласие на обработку персональных 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является основанием для регистрации физического лица в Программе и активации Карты. Предоставляя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информацию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 своих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персональны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данны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выражает своё полное согласие на обработку своих персональных данных,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персональных данных своего несовершеннолетнего ребенка,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содержащихся в Анкете, (в рамках Федерального закона №152 от 27.07.06 ФЗ «О персональных данных») Оператор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ам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персональных данных - </w:t>
      </w:r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Олтрейд</w:t>
      </w:r>
      <w:proofErr w:type="spellEnd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», ООО «</w:t>
      </w:r>
      <w:proofErr w:type="spellStart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Домхаус</w:t>
      </w:r>
      <w:proofErr w:type="spellEnd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</w:t>
      </w:r>
      <w:r w:rsidR="008C4A3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Китчен</w:t>
      </w:r>
      <w:proofErr w:type="spellEnd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</w:t>
      </w:r>
      <w:r w:rsidR="008C4A3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Тойс</w:t>
      </w:r>
      <w:proofErr w:type="spellEnd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Согласие действует до его письменного отзыва Участником Программы. Отзыв согласия на обработку персональных данных должен быть направлен Организатору по адресу: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Отзывы, направленные иными способами, Организатором Программы не рассматриваются.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расчетные бонусные единицы, зачисляемые на Бонусный счет Участника в соответствии с Правилами Программы. Бонусы не имеют наличного выражения и не предоставляют Участнику право на получение их в денежном эквиваленте. Срок действия Бонусов, начисленных за покупку на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Бонусный счет Участника с 01.08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.20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включительно – 1 год с даты их начисления. Срок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устанавливается Организатором дополнительно по каждой акции в отдельности.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Активные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бонусы, начисленные на Бонусный счет Участника, в активном статусе. Участник Программы может использовать Активные бонусы для частичной оплаты покупок согласно Правилам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Неактивные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бонусы, начисленные на Бонусный счет Участника, находящиеся в неактивном статусе и недоступные для использования Участником Программы. Неактивные бонусы, начисленные за покупки, становятся активными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после активации карты и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 истечении 14 календарных дней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 даты покупки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или даты начисления, не считая дня покупки.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spellStart"/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 xml:space="preserve">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– бонусы, которые Участник может получить при выполнении определенных действий или без них.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Акционным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бонусам устанавливается любой срок действия по усмотрению Организатора. Правила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Бонусный счет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счет Карты Участника, на котором проводятся операции с Бонусами.  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База 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электронная база данных, содержащая данные о зарегистрированных Участниках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Специальное предложение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товар, на который установлена специальная цена.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Уцененный товар -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товар с каким-либо некритичным дефектом, на который установлена специальная цена.</w:t>
      </w:r>
    </w:p>
    <w:p w:rsidR="004B4888" w:rsidRPr="008D6F1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lastRenderedPageBreak/>
        <w:t>Условия Участия («Правила Программы»)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— условия участия в Программе, изложенные в настоящих Правилах и доступные для ознакомления любому заинтересованному лицу на сайт</w:t>
      </w:r>
      <w:r w:rsidR="00A77B1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hyperlink r:id="rId7" w:history="1">
        <w:r w:rsidRPr="008F4637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Cookhouse</w:t>
        </w:r>
        <w:r w:rsidRPr="008F4637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Pr="008F4637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E85C4E">
        <w:rPr>
          <w:rFonts w:ascii="Arial" w:eastAsia="Times New Roman" w:hAnsi="Arial" w:cs="Arial"/>
          <w:color w:val="006AB1"/>
          <w:sz w:val="18"/>
          <w:szCs w:val="18"/>
          <w:u w:val="single"/>
          <w:bdr w:val="none" w:sz="0" w:space="0" w:color="auto" w:frame="1"/>
          <w:lang w:eastAsia="ru-RU"/>
        </w:rPr>
        <w:t xml:space="preserve">, </w:t>
      </w:r>
      <w:hyperlink r:id="rId8" w:history="1">
        <w:r w:rsidR="008F4637" w:rsidRPr="008F4637">
          <w:rPr>
            <w:rStyle w:val="a8"/>
            <w:lang w:val="en-US"/>
          </w:rPr>
          <w:t>G</w:t>
        </w:r>
        <w:r w:rsidR="008F4637" w:rsidRPr="008F4637">
          <w:rPr>
            <w:rStyle w:val="a8"/>
          </w:rPr>
          <w:t>dhouse.ru</w:t>
        </w:r>
      </w:hyperlink>
      <w:r w:rsidR="00E85C4E">
        <w:rPr>
          <w:rStyle w:val="a8"/>
        </w:rPr>
        <w:t xml:space="preserve">, </w:t>
      </w:r>
      <w:r w:rsidR="00E85C4E" w:rsidRPr="008D6F1B">
        <w:rPr>
          <w:rStyle w:val="a8"/>
          <w:lang w:val="en-US"/>
        </w:rPr>
        <w:t>W</w:t>
      </w:r>
      <w:r w:rsidR="00E85C4E" w:rsidRPr="008D6F1B">
        <w:rPr>
          <w:rStyle w:val="a8"/>
        </w:rPr>
        <w:t>inny.ru</w:t>
      </w:r>
    </w:p>
    <w:p w:rsidR="004B4888" w:rsidRPr="008D6F1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8D6F1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 1.   Участие в Программе и активация Карты</w:t>
      </w:r>
    </w:p>
    <w:p w:rsidR="004B4888" w:rsidRPr="008D6F1B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1.1.      Стать Участником Программы может любое физическое лицо, достигшее 18 лет.</w:t>
      </w:r>
    </w:p>
    <w:p w:rsidR="004B4888" w:rsidRPr="008D6F1B" w:rsidRDefault="004B4888" w:rsidP="00757948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1.2.      Получить Кар</w:t>
      </w:r>
      <w:r w:rsidR="007579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ту Участника возможно бесплатно </w:t>
      </w: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момент покупки на кассе в маг</w:t>
      </w:r>
      <w:r w:rsidR="007579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азинах.</w:t>
      </w:r>
    </w:p>
    <w:p w:rsidR="004B4888" w:rsidRPr="00083B5E" w:rsidRDefault="004B4888" w:rsidP="00757948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1.3.      Для участия в Программе Участнику необходимо зарегистрироваться через заполнение Анкеты. Для Участников предоставляется след</w:t>
      </w:r>
      <w:r w:rsidR="007579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ующие способы заполнения Анкеты </w:t>
      </w: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через кассира магазина в розничных магазинах, участвующих в Програм</w:t>
      </w:r>
      <w:r w:rsidR="007579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ме.</w:t>
      </w:r>
    </w:p>
    <w:p w:rsidR="00757948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      Карта Участника активируется только после поступления Анкеты в Базу данных. 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      Участие в Программе является добровольным. 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      Карта Участника действует в течение срока действия Программы или до любой другой даты прекращения действия Карты, установленной Организатором Программы. </w:t>
      </w:r>
    </w:p>
    <w:p w:rsidR="004B4888" w:rsidRPr="00E17D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 2.   Начисление бонусов</w:t>
      </w:r>
    </w:p>
    <w:p w:rsidR="004B4888" w:rsidRPr="00801E67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2.1.     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8.21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г. за совершение покупок включительно на Территории проведения Программы на Бонусный счет Участни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ка начисляются бонусы в размере  </w:t>
      </w:r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5% при любой сумме покупок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Pr="00D32F46" w:rsidRDefault="004B4888" w:rsidP="001804EF">
      <w:pPr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2.2. Бонусы за покупки начисляются:</w:t>
      </w:r>
    </w:p>
    <w:p w:rsidR="004B4888" w:rsidRPr="00083B5E" w:rsidRDefault="004B4888" w:rsidP="001804E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оплате полной стоимости покупки наличными, банковской или подарочной картами или другими платежными средствами, на Территории проведения Программы;</w:t>
      </w:r>
    </w:p>
    <w:p w:rsidR="004B4888" w:rsidRPr="00083B5E" w:rsidRDefault="004B4888" w:rsidP="001804E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использовании (списании) Бонусов на покупку. В этом случае Бонусы будут начислены после предоставления скидки по Карте на часть стоимости товара, оплаченную платежными средствами, предусмотренными на Территории проведения Программы.</w:t>
      </w:r>
    </w:p>
    <w:p w:rsidR="004B4888" w:rsidRPr="00E17D88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 может накапливать Бонусы до активации Карты - до поступления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частника в Базу данных.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Для Бонусов, начисленных за покупки на Территории действия Программы (исключение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бонусы), устанавливаются следующие сроки начисления и действия:</w:t>
      </w:r>
    </w:p>
    <w:p w:rsidR="004B4888" w:rsidRPr="0089400B" w:rsidRDefault="004B4888" w:rsidP="001804EF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за покупки, совершенные в розничных магазинах, Бонусы начисляются в момент покупки. Бонусы начисляются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неактивными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Неактивные бонусы становятся активными по истечении 14 календарных дней с даты покупки, не считая дня покупки;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начислении Бонусы округляются до 10 копеек в меньшую сторону.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Сумма начисления Бонусов (количество Бонусов к начислению) учитывается по каждой товарной единице отдельно.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Бонусы начисляются за все покупки, кроме приобретения Подарочных карт, услуг и сервисов, при условии предъявления/указания Карты.</w:t>
      </w:r>
    </w:p>
    <w:p w:rsidR="004B4888" w:rsidRPr="00F72585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2.8. При оплате покупки Подарочной картой Бонусы начисляются.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Начисление Бонусов по виртуальной Карте в розничных магазинах осуществляется через начисление бонусов по номеру мобильного телефона. Участнику необходимо на кассе в момент покупки сообщить номер мобильного телефона, Фамилию, Имя и Отчество. 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полностью или частично отсутствуют в Базе данных или не соответствуют, указанным в Базе данных, покупка совершается без начисления Бонусов.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Срок действия Бонусов, начисленных за покупки на Бонусный счет Участника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01.08.2021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включительно –12 месяцев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 момента начисления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Неиспользованные Участником Бонусы сгорают по завершении их срока действия.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Участникам, зарегистрированным в Программе, могут быть доступны дополнительные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бонусы, как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единоразово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так и на постоянной основе.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могут быть доступны как при выполнении определенных условий, так и без них. Правила начисления и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 и доводятся до сведения Участникам Программы.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2.1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Если по техническим причинам, в момент покупки, операции с Картами онлайн невозможны, покупка завершается без начисления Бонусов.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3. Списание Бонусов 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3.1. Накопленные на Карте Бонусы Участник может использовать на Территории действия Программы для оплаты товаров в соответствии с настоящими Правилами.</w:t>
      </w:r>
    </w:p>
    <w:p w:rsidR="00F56B6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3.2. Участник может использовать Бону</w:t>
      </w:r>
      <w:r w:rsidR="00F56B6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сы только после активации Карты.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3.3. Оплатить покупку возможно только Активными бонусами.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3.4.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01.08.2021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Участнику Программы предоставляется возможность оплачивать до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10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0%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стоимости товара накопленными Активными Бонусами по курсу 1 бонус = 1 рубль при предъявлении Карты в момент покупки в розничных магазинах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при условии верификации Участника через  зарегистрированный номер мобильного телефона:</w:t>
      </w:r>
    </w:p>
    <w:p w:rsidR="004B4888" w:rsidRDefault="004B4888" w:rsidP="001804E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розничных магазинах для оплаты всех товаров, кроме приобретения Подарочных карт, сервисов, а также уцененных товаров и товаров, на которые применена акция в момент покупки;</w:t>
      </w:r>
    </w:p>
    <w:p w:rsidR="004B4888" w:rsidRDefault="004B4888" w:rsidP="001804E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для оплаты всех товаров, кроме приобретения Подарочных карт, услуг и сервисов.</w:t>
      </w: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оплате покупки Подарочной картой Участнику предоставляется возможность оплатить покупку Бонусами до момента применения Подарочной карты.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При оплате покупки Бонусами с Карты Участника списываются Бонусы с более коротким сроком действия, за исключением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бонусов, по которым установлены иные Правила списания Бонусов.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Сумма предоставленной скидки (количество списанных Бонусов) учитывается по каждой товарной единице.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Для Участника Программы предоставляется два варианта оплаты покупки Бонусами:</w:t>
      </w:r>
    </w:p>
    <w:p w:rsidR="004B4888" w:rsidRPr="00083B5E" w:rsidRDefault="004B4888" w:rsidP="001804E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функция максимальной скидки (с Карты списывается максимальное количество Бонусов, допустимое при данной покупке);</w:t>
      </w:r>
    </w:p>
    <w:p w:rsidR="004B4888" w:rsidRDefault="004B4888" w:rsidP="001804E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списание определенного количества Бонусов в пределах максимально возможной скидки.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После учета скидки по Карте оставшаяся часть стоимости товара может быть оплачена подарочной картой, наличными денежными средствами, банковской картой или другими предусмотренными на Территории действия Программы платежными средствами.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="00E93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Использование Бонусов по виртуальной Карте в розничных магазинах осуществляется через списание бонусов по номеру мобильного телефона. Участнику необходимо на кассе в момент покупки сообщить номер мобильного телефона, Фамилию, Имя и Отчество, а также код подтверждения, полученный в смс-сообщении. 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полностью или частично отсутствуют в Базе данных или не соответствуют, указанным в Базе данных, не введен код подтверждения покупка не может быть оплачена Бонусами.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="00E93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Правила использования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могут отличаться от действующих Правил. Правила использования и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="00E93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Если по техническим причинам в момент покупки операции с Картами онлайн невозможны, покупка завершается без использования Бонусов.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4. Начисление и списание Бонусов по номеру мобильного телефона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4.1. Участникам Программы предоставляется возможность накапливать и списывать Бонусы по номеру мобильного телефона при покупках в розничных магазинах.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4.2. Начисление и списание бонусов по номеру мобильного телефона возможно только при условии наличия в Базе данных персональных данных Участника (Фамилия, Имя, Отчество, номер мобильного телефона).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4.3. При отсутствии в Базе данных персональных данных Участника (Фамилия, Имя, Отчество, номер мобильного телефона) Участник утрачивает право совершить покупку с начислением и списание Бонусов по номеру мобильного телефона.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4.4. Для начисления Бонусов за покупку Участнику необходимо на кассе в момент покупки сообщить номер мобильного телефона, Фамилию, Имя и Отчество, указанные в Анкете. При совпадении данных Участника в Базе данных покупка завершается с начислением Бонусов. 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полностью или частично отсутствуют в Базе данных или не соответствуют, указанным в Базе данных, покупка завершается без начисления Бонусов.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 xml:space="preserve">4.5. Для оплаты покупки Бонусами Участнику необходимо на кассе в момент покупки сообщить номер мобильного телефона, Фамилию, Имя и Отчество. При совпадении данных Участника в Базе данных на номер мобильного телефона Участника отправляется смс-сообщение с кодом подтверждения. Участник сообщает код подтверждения сотруднику магазина. Если подтверждающий код совпадает, покупка завершается с оплатой Бонусами. Если код не введен или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введен с ошибкой покупка завершается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без оплаты Бонусами.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4.6. Если в Базе данных номер мобильного телефона присутствует более чем в одной Анкете Участника Программы, на кассе автоматические выбирается Карта, по которой была совершена наиболее поздняя покупка. При совпадении Фамилии, Имени и Отчества Участника Программы с данными автоматически выбранной Карты покупка совершается с накоплением и/или оплатой Бонусами. Если данные не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совпадают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покупка завершается без накопления и/или оплаты Бонусами.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4.7. Если по техническим причинам в момент покупки операции с Картами онлайн невозможны, покупка завершается без накопления и/или списания Бонусов.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B17303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5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Изменение персональных данных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Вносить изменения в персональные данные может только Участник Программы.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Для изменения персональных данных Участнику необходимо повторно заполнить Анкету.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Изменить владельца Карты нельзя.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B17303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6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Возврат товара по Карте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.1. </w:t>
      </w:r>
      <w:r w:rsidR="00E93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Обмен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 возврат товаров, приобретенных с применением Карты, осуществляется в порядке, предусмотренным действующим законодательством РФ.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При возврате товара Бонусы, начисленные за этот товар, списываются (аннулируются) с Карты.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При возврате товара Бонусы, которыми товар был оплачен, возвращаются на Карту Участника.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.4. При возврате товара, полностью оплаченного Бонусами, на Карту клиента возвращаются Бонусы в размере, использованном на покупку товара. Денежные средства взамен Бонусов Участнику Программы не выплачиваются.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.5. Возврат не продлевает срок действия Бонусов. При возврате товара Бонусам, возвращенным на Карту Участника, возвращается срок действия, установленный в момент их первого начисления.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.6. При возврате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на Карту Участнику после завершения акции,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сразу сгорают. Участник утрачивает право повторно использовать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Бонусы.</w:t>
      </w:r>
    </w:p>
    <w:p w:rsidR="004B4888" w:rsidRPr="00F72585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F72585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7. Восстановление и блокировка Карты</w:t>
      </w:r>
    </w:p>
    <w:p w:rsidR="004B4888" w:rsidRDefault="004B4888" w:rsidP="00AB0521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</w:t>
      </w:r>
      <w:r w:rsidR="00E93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Анкете Участника в Базе данных присутствует данные об Участнике: Фамилия, Имя, Отчество, полная дата рождения или номер мобильного телефона.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Организатор Программы имеет право в одностороннем порядке заблокировать Карту Участника, если у него есть обоснованные основания полагать, что Карта Участника недобросовестно используется не Участником Программы и/или без его согласия.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получении от Участника Программы письменного уведомления о прекращении участия в Программе Карта Участника блокируются, Бонусы аннулируются.</w:t>
      </w:r>
    </w:p>
    <w:p w:rsidR="004B4888" w:rsidRPr="00D70FB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D70FBB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8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Информация по Карте</w:t>
      </w:r>
    </w:p>
    <w:p w:rsidR="004B4888" w:rsidRPr="00D70FB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Участник обязуется самостоятельно отслеживать изменения Бонусного счета.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9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Иные условия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Карта Участника действует согласно действующим Правилам Программы на Территории действия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Организатор Программы по своему усмотрению вправе вносить любые изменения в настоящие Правила в любое время. Информация об изменениях будет размещаться на сайт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Pr="005B548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.3. Становясь Участником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Программы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соглашается со всеми Правилами Программы, в частности с необходимостью активации Карты, порядком начисления, списания и действия Бонусов. 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Программы не нес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 ответственность за незнание Участником Правил Программы.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9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Участник обязан уведомить Организатора об изменении персональных данных (ФИО и других контактных данных), указанных им в Анкете путем повторного заполнения Анкеты. 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Участник не уведомил об изменении персональных данных, Организатор не несет ответственность за корректность данных Участника в Базе данных. При несовпадении данных в Базе данных Организатор вправе отказать Участнику в применении Карты.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CC1D0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.5.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При совершении покупки может быть применена только одна Карта Участника.</w:t>
      </w:r>
    </w:p>
    <w:p w:rsidR="004B4888" w:rsidRPr="00F72585" w:rsidRDefault="00AB0521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9.6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Бонусы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Правилами или с согласия Организатора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Организатор Программы вправе отказать физическому лицу в активации Карты и участию в Программе при обнаружении ранее оформленной Карты Участника на данное физическое лицо.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9552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.Участнику, зарегистрированному в Программе, может быть предоставлено Персональное предложение с возможностью получить дополнительные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или изменить условия действия Карты как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единоразово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так и на постоянной основе. Персональное предложение может быть доступно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Участнику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как при выполнении определенных условий, так и без них. Правила Персонального предложения устанавливаются Организатором Программы по каждому предложению отдельно и сообщаются Участнику при предоставлении Предложения.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Согласившись с Правилами Программы и зарегистрировав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Карту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соглашается на получение от Организатора Программы уведомлений, в том числе рекламного содержания, передаваемых Участнику по одному или нескольким указанным им при активации Карты средствам (способам) связи: мобильному телефону, e-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mail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(электронному адресу) или иными способами, но сохраняет за собой право отказаться от уведомлений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рекламного характера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перейдя по ссылке в электронном письме (e-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mail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) от Организатора;</w:t>
      </w:r>
    </w:p>
    <w:p w:rsidR="004B4888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Если по техническим причинам в момент покупки операции с Картами онлайн невозможны, Оператор оставляет за собой право отказать Участнику в применении Карты до устранения причин неполадок.</w:t>
      </w:r>
    </w:p>
    <w:p w:rsidR="004B4888" w:rsidRDefault="004B4888" w:rsidP="001804EF">
      <w:pPr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11</w:t>
      </w:r>
      <w:r w:rsidR="003E439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 В сети магазинов «Винни» не действует накопление и списание</w:t>
      </w:r>
      <w:r w:rsidR="00A77B1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на товары категории «одежда», </w:t>
      </w: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«обувь и аксессуары». Накопление бонусов только на покупку игрушек и товаров 0-3. Списание бонусов не доступно до 1.01.2022 г.</w:t>
      </w:r>
    </w:p>
    <w:p w:rsidR="004B4888" w:rsidRPr="001B0534" w:rsidRDefault="004B4888" w:rsidP="0018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</w:t>
      </w:r>
      <w:r w:rsidR="00AB052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12</w:t>
      </w:r>
      <w:r w:rsidR="003E439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Сумма покупки участника программы лояльности с учетом оплаты бонусами не может соста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влять менее 1 руб. (Один рубль).</w:t>
      </w:r>
    </w:p>
    <w:p w:rsidR="0038329F" w:rsidRDefault="005A33D5" w:rsidP="001804EF">
      <w:pPr>
        <w:jc w:val="both"/>
      </w:pPr>
    </w:p>
    <w:sectPr w:rsidR="0038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3CB"/>
    <w:multiLevelType w:val="multilevel"/>
    <w:tmpl w:val="9BD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B67"/>
    <w:multiLevelType w:val="multilevel"/>
    <w:tmpl w:val="358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91624"/>
    <w:multiLevelType w:val="multilevel"/>
    <w:tmpl w:val="48E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51A12"/>
    <w:multiLevelType w:val="multilevel"/>
    <w:tmpl w:val="D41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6FCA"/>
    <w:multiLevelType w:val="multilevel"/>
    <w:tmpl w:val="ABB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916C0"/>
    <w:multiLevelType w:val="multilevel"/>
    <w:tmpl w:val="D6C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C37F8"/>
    <w:multiLevelType w:val="multilevel"/>
    <w:tmpl w:val="AF1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30A43"/>
    <w:multiLevelType w:val="multilevel"/>
    <w:tmpl w:val="B87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4793A"/>
    <w:multiLevelType w:val="multilevel"/>
    <w:tmpl w:val="02D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163AA"/>
    <w:multiLevelType w:val="multilevel"/>
    <w:tmpl w:val="87F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9E"/>
    <w:rsid w:val="0003619E"/>
    <w:rsid w:val="0009237C"/>
    <w:rsid w:val="000F1DEB"/>
    <w:rsid w:val="001804EF"/>
    <w:rsid w:val="0026754B"/>
    <w:rsid w:val="0027119A"/>
    <w:rsid w:val="00293F39"/>
    <w:rsid w:val="00327CAA"/>
    <w:rsid w:val="003476D6"/>
    <w:rsid w:val="00397A21"/>
    <w:rsid w:val="003E0B19"/>
    <w:rsid w:val="003E4392"/>
    <w:rsid w:val="004857BD"/>
    <w:rsid w:val="004B4888"/>
    <w:rsid w:val="0052719A"/>
    <w:rsid w:val="005A33D5"/>
    <w:rsid w:val="00661520"/>
    <w:rsid w:val="00692B6B"/>
    <w:rsid w:val="00757948"/>
    <w:rsid w:val="007C06E0"/>
    <w:rsid w:val="008C4A31"/>
    <w:rsid w:val="008D46E2"/>
    <w:rsid w:val="008D6F1B"/>
    <w:rsid w:val="008F4637"/>
    <w:rsid w:val="009B43EE"/>
    <w:rsid w:val="00A11E55"/>
    <w:rsid w:val="00A77B1D"/>
    <w:rsid w:val="00AB0521"/>
    <w:rsid w:val="00B5085B"/>
    <w:rsid w:val="00B9064B"/>
    <w:rsid w:val="00C5513A"/>
    <w:rsid w:val="00C62579"/>
    <w:rsid w:val="00D13B3D"/>
    <w:rsid w:val="00E85C4E"/>
    <w:rsid w:val="00E93ABE"/>
    <w:rsid w:val="00F56B6E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8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8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488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8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8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488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ok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606A-58C1-4866-9BF4-408A1321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Наталья</dc:creator>
  <cp:lastModifiedBy>Попова Надежда</cp:lastModifiedBy>
  <cp:revision>2</cp:revision>
  <dcterms:created xsi:type="dcterms:W3CDTF">2023-10-31T10:32:00Z</dcterms:created>
  <dcterms:modified xsi:type="dcterms:W3CDTF">2023-10-31T10:32:00Z</dcterms:modified>
</cp:coreProperties>
</file>